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25" w:rsidRDefault="00E45225" w:rsidP="00E45225">
      <w:pPr>
        <w:rPr>
          <w:szCs w:val="22"/>
          <w:lang w:val="en-US"/>
        </w:rPr>
      </w:pPr>
      <w:r w:rsidRPr="00E45225">
        <w:rPr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-1098550</wp:posOffset>
            </wp:positionH>
            <wp:positionV relativeFrom="paragraph">
              <wp:posOffset>-793750</wp:posOffset>
            </wp:positionV>
            <wp:extent cx="2952750" cy="838200"/>
            <wp:effectExtent l="19050" t="0" r="0" b="0"/>
            <wp:wrapNone/>
            <wp:docPr id="3" name="תמונה 1" descr="C:\Users\user\Desktop\dorit alt 2016\AAA - erasmus+ ASSESSMENT\WEBSITE\DISS\MATERIALS\co-funded by 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rit alt 2016\AAA - erasmus+ ASSESSMENT\WEBSITE\DISS\MATERIALS\co-funded by 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225" w:rsidRDefault="00E45225" w:rsidP="00E45225">
      <w:pPr>
        <w:rPr>
          <w:szCs w:val="22"/>
          <w:lang w:val="en-US"/>
        </w:rPr>
      </w:pPr>
    </w:p>
    <w:tbl>
      <w:tblPr>
        <w:tblStyle w:val="a3"/>
        <w:tblW w:w="10023" w:type="dxa"/>
        <w:jc w:val="center"/>
        <w:tblInd w:w="108" w:type="dxa"/>
        <w:tblLayout w:type="fixed"/>
        <w:tblLook w:val="04A0"/>
      </w:tblPr>
      <w:tblGrid>
        <w:gridCol w:w="1710"/>
        <w:gridCol w:w="5661"/>
        <w:gridCol w:w="2652"/>
      </w:tblGrid>
      <w:tr w:rsidR="00E45225" w:rsidRPr="00F35590" w:rsidTr="007C2CAD">
        <w:trPr>
          <w:jc w:val="center"/>
        </w:trPr>
        <w:tc>
          <w:tcPr>
            <w:tcW w:w="1710" w:type="dxa"/>
            <w:vAlign w:val="center"/>
          </w:tcPr>
          <w:p w:rsidR="00E45225" w:rsidRPr="00F35590" w:rsidRDefault="00E45225" w:rsidP="007C2CAD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661" w:type="dxa"/>
            <w:shd w:val="clear" w:color="auto" w:fill="DAEEF3" w:themeFill="accent5" w:themeFillTint="33"/>
            <w:vAlign w:val="center"/>
          </w:tcPr>
          <w:p w:rsidR="00E45225" w:rsidRPr="00F35590" w:rsidRDefault="00E45225" w:rsidP="007C2CAD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b/>
                <w:sz w:val="22"/>
                <w:szCs w:val="22"/>
              </w:rPr>
              <w:t>DISSEMINATION &amp; EXPLOITATION</w:t>
            </w:r>
            <w:r w:rsidRPr="00F35590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</w:t>
            </w:r>
          </w:p>
          <w:p w:rsidR="00E45225" w:rsidRPr="00F35590" w:rsidRDefault="00E45225" w:rsidP="007C2CA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>15-10-2017</w:t>
            </w:r>
            <w:r w:rsidRPr="00F35590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- </w:t>
            </w:r>
            <w:r w:rsidRPr="00F35590">
              <w:rPr>
                <w:rFonts w:asciiTheme="majorBidi" w:hAnsiTheme="majorBidi" w:cstheme="majorBidi"/>
                <w:sz w:val="22"/>
                <w:szCs w:val="22"/>
              </w:rPr>
              <w:t>15-10-2020</w:t>
            </w:r>
          </w:p>
          <w:p w:rsidR="00E45225" w:rsidRPr="00F35590" w:rsidRDefault="00E45225" w:rsidP="007C2CA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LEAD: </w:t>
            </w:r>
            <w:proofErr w:type="spellStart"/>
            <w:r w:rsidRPr="00F35590">
              <w:rPr>
                <w:rFonts w:asciiTheme="majorBidi" w:hAnsiTheme="majorBidi" w:cstheme="majorBidi"/>
                <w:sz w:val="22"/>
                <w:szCs w:val="22"/>
              </w:rPr>
              <w:t>HAC</w:t>
            </w:r>
            <w:proofErr w:type="spellEnd"/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 assisted by </w:t>
            </w:r>
            <w:proofErr w:type="spellStart"/>
            <w:r w:rsidRPr="00F35590">
              <w:rPr>
                <w:rFonts w:asciiTheme="majorBidi" w:hAnsiTheme="majorBidi" w:cstheme="majorBidi"/>
                <w:sz w:val="22"/>
                <w:szCs w:val="22"/>
              </w:rPr>
              <w:t>KCJV</w:t>
            </w:r>
            <w:proofErr w:type="spellEnd"/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, VARAM and </w:t>
            </w:r>
            <w:proofErr w:type="spellStart"/>
            <w:r w:rsidRPr="00F35590">
              <w:rPr>
                <w:rFonts w:asciiTheme="majorBidi" w:hAnsiTheme="majorBidi" w:cstheme="majorBidi"/>
                <w:sz w:val="22"/>
                <w:szCs w:val="22"/>
              </w:rPr>
              <w:t>NTCPD</w:t>
            </w:r>
            <w:proofErr w:type="spellEnd"/>
          </w:p>
          <w:p w:rsidR="00E45225" w:rsidRPr="00F35590" w:rsidRDefault="00E45225" w:rsidP="007C2CA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All partner </w:t>
            </w:r>
            <w:proofErr w:type="spellStart"/>
            <w:r w:rsidRPr="00F35590">
              <w:rPr>
                <w:rFonts w:asciiTheme="majorBidi" w:hAnsiTheme="majorBidi" w:cstheme="majorBidi"/>
                <w:sz w:val="22"/>
                <w:szCs w:val="22"/>
              </w:rPr>
              <w:t>HEIs</w:t>
            </w:r>
            <w:proofErr w:type="spellEnd"/>
          </w:p>
        </w:tc>
        <w:tc>
          <w:tcPr>
            <w:tcW w:w="2652" w:type="dxa"/>
            <w:shd w:val="clear" w:color="auto" w:fill="DAEEF3" w:themeFill="accent5" w:themeFillTint="33"/>
            <w:vAlign w:val="center"/>
          </w:tcPr>
          <w:p w:rsidR="00E45225" w:rsidRPr="00F35590" w:rsidRDefault="00E45225" w:rsidP="007C2CA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b/>
                <w:sz w:val="22"/>
                <w:szCs w:val="22"/>
              </w:rPr>
              <w:t>WP 4</w:t>
            </w:r>
          </w:p>
        </w:tc>
      </w:tr>
      <w:tr w:rsidR="00E45225" w:rsidRPr="00F35590" w:rsidTr="007C2CAD">
        <w:trPr>
          <w:trHeight w:val="493"/>
          <w:jc w:val="center"/>
        </w:trPr>
        <w:tc>
          <w:tcPr>
            <w:tcW w:w="1710" w:type="dxa"/>
            <w:vAlign w:val="center"/>
          </w:tcPr>
          <w:p w:rsidR="00E45225" w:rsidRPr="00F35590" w:rsidRDefault="00E45225" w:rsidP="007C2CAD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b/>
                <w:sz w:val="22"/>
                <w:szCs w:val="22"/>
              </w:rPr>
              <w:t>Title</w:t>
            </w:r>
          </w:p>
        </w:tc>
        <w:tc>
          <w:tcPr>
            <w:tcW w:w="8313" w:type="dxa"/>
            <w:gridSpan w:val="2"/>
            <w:vAlign w:val="center"/>
          </w:tcPr>
          <w:p w:rsidR="00E45225" w:rsidRPr="00F35590" w:rsidRDefault="00E45225" w:rsidP="007C2CAD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>Dissemination and Exploitation of ASSET project</w:t>
            </w:r>
          </w:p>
        </w:tc>
      </w:tr>
      <w:tr w:rsidR="00E45225" w:rsidRPr="00F35590" w:rsidTr="007C2CAD">
        <w:trPr>
          <w:trHeight w:val="493"/>
          <w:jc w:val="center"/>
        </w:trPr>
        <w:tc>
          <w:tcPr>
            <w:tcW w:w="1710" w:type="dxa"/>
            <w:vAlign w:val="center"/>
          </w:tcPr>
          <w:p w:rsidR="00E45225" w:rsidRPr="00F35590" w:rsidRDefault="00E45225" w:rsidP="007C2CAD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b/>
                <w:sz w:val="22"/>
                <w:szCs w:val="22"/>
              </w:rPr>
              <w:t>Description</w:t>
            </w:r>
          </w:p>
        </w:tc>
        <w:tc>
          <w:tcPr>
            <w:tcW w:w="8313" w:type="dxa"/>
            <w:gridSpan w:val="2"/>
            <w:vAlign w:val="center"/>
          </w:tcPr>
          <w:p w:rsidR="00E45225" w:rsidRPr="00F35590" w:rsidRDefault="00E45225" w:rsidP="007C2CAD">
            <w:pPr>
              <w:pStyle w:val="BulletBox"/>
              <w:numPr>
                <w:ilvl w:val="0"/>
                <w:numId w:val="0"/>
              </w:numPr>
              <w:ind w:left="86"/>
              <w:rPr>
                <w:rFonts w:asciiTheme="majorBidi" w:hAnsiTheme="majorBidi" w:cstheme="majorBidi"/>
                <w:noProof/>
                <w:sz w:val="22"/>
                <w:szCs w:val="22"/>
                <w:lang w:val="en-US"/>
              </w:rPr>
            </w:pPr>
            <w:r w:rsidRPr="00F35590">
              <w:rPr>
                <w:rFonts w:asciiTheme="majorBidi" w:hAnsiTheme="majorBidi" w:cstheme="majorBidi"/>
                <w:noProof/>
                <w:sz w:val="22"/>
                <w:szCs w:val="22"/>
                <w:lang w:val="en-US"/>
              </w:rPr>
              <w:t>GOALS:</w:t>
            </w:r>
          </w:p>
          <w:p w:rsidR="00E45225" w:rsidRPr="00F35590" w:rsidRDefault="00E45225" w:rsidP="007C2CAD">
            <w:pPr>
              <w:pStyle w:val="BulletBox"/>
              <w:numPr>
                <w:ilvl w:val="0"/>
                <w:numId w:val="13"/>
              </w:numPr>
              <w:ind w:left="459"/>
              <w:rPr>
                <w:rFonts w:asciiTheme="majorBidi" w:hAnsiTheme="majorBidi" w:cstheme="majorBidi"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The visibility of the project will be enhanced by a distinctive project Website.  </w:t>
            </w:r>
          </w:p>
          <w:p w:rsidR="00E45225" w:rsidRPr="00F35590" w:rsidRDefault="00E45225" w:rsidP="007C2CAD">
            <w:pPr>
              <w:pStyle w:val="BulletBox"/>
              <w:numPr>
                <w:ilvl w:val="0"/>
                <w:numId w:val="13"/>
              </w:numPr>
              <w:ind w:left="459"/>
              <w:rPr>
                <w:rFonts w:asciiTheme="majorBidi" w:hAnsiTheme="majorBidi" w:cstheme="majorBidi"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Info and summaries of activities and results will also be available in English. </w:t>
            </w:r>
          </w:p>
          <w:p w:rsidR="00E45225" w:rsidRPr="00F35590" w:rsidRDefault="00E45225" w:rsidP="007C2CAD">
            <w:pPr>
              <w:pStyle w:val="BulletBox"/>
              <w:numPr>
                <w:ilvl w:val="0"/>
                <w:numId w:val="13"/>
              </w:numPr>
              <w:ind w:left="459"/>
              <w:rPr>
                <w:rFonts w:asciiTheme="majorBidi" w:hAnsiTheme="majorBidi" w:cstheme="majorBidi"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Brochures,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flyers, </w:t>
            </w:r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posters will be printed and spread to target groups as well. </w:t>
            </w:r>
          </w:p>
          <w:p w:rsidR="00E45225" w:rsidRDefault="00E45225" w:rsidP="007C2CAD">
            <w:pPr>
              <w:pStyle w:val="BulletBox"/>
              <w:numPr>
                <w:ilvl w:val="0"/>
                <w:numId w:val="13"/>
              </w:numPr>
              <w:ind w:left="459"/>
              <w:rPr>
                <w:rFonts w:asciiTheme="majorBidi" w:hAnsiTheme="majorBidi" w:cstheme="majorBidi"/>
                <w:sz w:val="22"/>
                <w:szCs w:val="22"/>
              </w:rPr>
            </w:pPr>
            <w:r w:rsidRPr="00330B05">
              <w:rPr>
                <w:rFonts w:asciiTheme="majorBidi" w:hAnsiTheme="majorBidi" w:cstheme="majorBidi"/>
                <w:sz w:val="22"/>
                <w:szCs w:val="22"/>
              </w:rPr>
              <w:t>Promotion through network of practitioners</w:t>
            </w:r>
          </w:p>
          <w:p w:rsidR="00E45225" w:rsidRPr="00330B05" w:rsidRDefault="00E45225" w:rsidP="007C2CAD">
            <w:pPr>
              <w:pStyle w:val="BulletBox"/>
              <w:numPr>
                <w:ilvl w:val="0"/>
                <w:numId w:val="13"/>
              </w:numPr>
              <w:ind w:left="459"/>
              <w:rPr>
                <w:rFonts w:asciiTheme="majorBidi" w:hAnsiTheme="majorBidi" w:cstheme="majorBidi"/>
                <w:sz w:val="22"/>
                <w:szCs w:val="22"/>
              </w:rPr>
            </w:pPr>
            <w:r w:rsidRPr="00330B05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everal sessions </w:t>
            </w:r>
            <w:r w:rsidRPr="00330B05">
              <w:rPr>
                <w:rFonts w:asciiTheme="majorBidi" w:hAnsiTheme="majorBidi" w:cstheme="majorBidi"/>
                <w:sz w:val="22"/>
                <w:szCs w:val="22"/>
              </w:rPr>
              <w:t xml:space="preserve">will take place during the three years of project. </w:t>
            </w:r>
          </w:p>
          <w:p w:rsidR="00E45225" w:rsidRDefault="00E45225" w:rsidP="007C2CAD">
            <w:pPr>
              <w:pStyle w:val="BulletBox"/>
              <w:numPr>
                <w:ilvl w:val="0"/>
                <w:numId w:val="13"/>
              </w:numPr>
              <w:ind w:left="459"/>
              <w:rPr>
                <w:rFonts w:asciiTheme="majorBidi" w:hAnsiTheme="majorBidi" w:cstheme="majorBidi"/>
                <w:sz w:val="22"/>
                <w:szCs w:val="22"/>
              </w:rPr>
            </w:pPr>
            <w:r w:rsidRPr="00330B05">
              <w:rPr>
                <w:rFonts w:asciiTheme="majorBidi" w:hAnsiTheme="majorBidi" w:cstheme="majorBidi"/>
                <w:sz w:val="22"/>
                <w:szCs w:val="22"/>
              </w:rPr>
              <w:t xml:space="preserve">Project results will be presented to all stakeholders </w:t>
            </w:r>
          </w:p>
          <w:p w:rsidR="00E45225" w:rsidRPr="00F35590" w:rsidRDefault="00E45225" w:rsidP="007C2CAD">
            <w:pPr>
              <w:pStyle w:val="BulletBox"/>
              <w:numPr>
                <w:ilvl w:val="0"/>
                <w:numId w:val="13"/>
              </w:numPr>
              <w:ind w:left="459"/>
              <w:rPr>
                <w:rFonts w:asciiTheme="majorBidi" w:hAnsiTheme="majorBidi" w:cstheme="majorBidi"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The steering committee will monitor and evaluate the realization of this WP while the Quality control Team will control quality of results. </w:t>
            </w:r>
          </w:p>
          <w:p w:rsidR="00E45225" w:rsidRPr="00F35590" w:rsidRDefault="00E45225" w:rsidP="007C2CAD">
            <w:pPr>
              <w:pStyle w:val="BulletBox"/>
              <w:numPr>
                <w:ilvl w:val="0"/>
                <w:numId w:val="13"/>
              </w:numPr>
              <w:ind w:left="459"/>
              <w:rPr>
                <w:rFonts w:asciiTheme="majorBidi" w:hAnsiTheme="majorBidi" w:cstheme="majorBidi"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>The dissemination team will elaborate promotional materials and handbooks and their distribution to all partners and other stakeholders.</w:t>
            </w:r>
          </w:p>
        </w:tc>
      </w:tr>
    </w:tbl>
    <w:p w:rsidR="00E45225" w:rsidRPr="00F35590" w:rsidRDefault="00E45225" w:rsidP="00E45225">
      <w:pPr>
        <w:jc w:val="center"/>
        <w:rPr>
          <w:rFonts w:asciiTheme="majorBidi" w:hAnsiTheme="majorBidi" w:cstheme="majorBidi"/>
          <w:b/>
          <w:szCs w:val="22"/>
        </w:rPr>
      </w:pPr>
    </w:p>
    <w:p w:rsidR="00E45225" w:rsidRDefault="00E45225" w:rsidP="00E45225">
      <w:pPr>
        <w:jc w:val="center"/>
        <w:rPr>
          <w:rFonts w:asciiTheme="majorBidi" w:hAnsiTheme="majorBidi" w:cstheme="majorBidi"/>
          <w:b/>
          <w:color w:val="FF0000"/>
          <w:szCs w:val="22"/>
        </w:rPr>
      </w:pPr>
      <w:r w:rsidRPr="00F35590">
        <w:rPr>
          <w:rFonts w:asciiTheme="majorBidi" w:hAnsiTheme="majorBidi" w:cstheme="majorBidi"/>
          <w:b/>
          <w:color w:val="FF0000"/>
          <w:szCs w:val="22"/>
        </w:rPr>
        <w:t>Tasks and Deliverables</w:t>
      </w:r>
    </w:p>
    <w:p w:rsidR="00E45225" w:rsidRPr="00F35590" w:rsidRDefault="00E45225" w:rsidP="00E45225">
      <w:pPr>
        <w:jc w:val="center"/>
        <w:rPr>
          <w:rFonts w:asciiTheme="majorBidi" w:hAnsiTheme="majorBidi" w:cstheme="majorBidi"/>
          <w:b/>
          <w:color w:val="FF0000"/>
          <w:szCs w:val="22"/>
        </w:rPr>
      </w:pPr>
    </w:p>
    <w:tbl>
      <w:tblPr>
        <w:tblStyle w:val="a3"/>
        <w:tblW w:w="11029" w:type="dxa"/>
        <w:jc w:val="center"/>
        <w:tblInd w:w="-601" w:type="dxa"/>
        <w:tblLook w:val="04A0"/>
      </w:tblPr>
      <w:tblGrid>
        <w:gridCol w:w="2638"/>
        <w:gridCol w:w="6832"/>
        <w:gridCol w:w="1559"/>
      </w:tblGrid>
      <w:tr w:rsidR="00E45225" w:rsidRPr="00F35590" w:rsidTr="007C2CAD">
        <w:trPr>
          <w:jc w:val="center"/>
        </w:trPr>
        <w:tc>
          <w:tcPr>
            <w:tcW w:w="2638" w:type="dxa"/>
          </w:tcPr>
          <w:p w:rsidR="00E45225" w:rsidRPr="00F35590" w:rsidRDefault="00E45225" w:rsidP="007C2CA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b/>
                <w:sz w:val="22"/>
                <w:szCs w:val="22"/>
              </w:rPr>
              <w:t>Task</w:t>
            </w:r>
          </w:p>
        </w:tc>
        <w:tc>
          <w:tcPr>
            <w:tcW w:w="6832" w:type="dxa"/>
          </w:tcPr>
          <w:p w:rsidR="00E45225" w:rsidRPr="00F35590" w:rsidRDefault="00E45225" w:rsidP="007C2CA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b/>
                <w:sz w:val="22"/>
                <w:szCs w:val="22"/>
              </w:rPr>
              <w:t>Deliverables</w:t>
            </w:r>
          </w:p>
        </w:tc>
        <w:tc>
          <w:tcPr>
            <w:tcW w:w="1559" w:type="dxa"/>
          </w:tcPr>
          <w:p w:rsidR="00E45225" w:rsidRPr="00F35590" w:rsidRDefault="00E45225" w:rsidP="007C2CA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>Due date</w:t>
            </w:r>
          </w:p>
        </w:tc>
      </w:tr>
      <w:tr w:rsidR="00E45225" w:rsidRPr="00F35590" w:rsidTr="007C2CAD">
        <w:trPr>
          <w:jc w:val="center"/>
        </w:trPr>
        <w:tc>
          <w:tcPr>
            <w:tcW w:w="2638" w:type="dxa"/>
            <w:shd w:val="clear" w:color="auto" w:fill="D9D9D9" w:themeFill="background1" w:themeFillShade="D9"/>
          </w:tcPr>
          <w:p w:rsidR="00E45225" w:rsidRPr="00F35590" w:rsidRDefault="00E45225" w:rsidP="007C2CAD">
            <w:pPr>
              <w:pStyle w:val="a4"/>
              <w:ind w:left="6"/>
              <w:rPr>
                <w:rFonts w:asciiTheme="majorBidi" w:hAnsiTheme="majorBidi" w:cstheme="majorBidi"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>4.1 Dissemination within ASSETS Consortium and online and social-Professional Networking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:rsidR="00E45225" w:rsidRPr="00F35590" w:rsidRDefault="00E45225" w:rsidP="007C2CAD">
            <w:pPr>
              <w:pStyle w:val="a4"/>
              <w:numPr>
                <w:ilvl w:val="0"/>
                <w:numId w:val="20"/>
              </w:numPr>
              <w:ind w:left="262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>Dissemination through internal meetings, seminars and workshops. Likewise, online and socio-professional networking.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45225" w:rsidRPr="00F35590" w:rsidRDefault="00E45225" w:rsidP="007C2CAD">
            <w:pPr>
              <w:pStyle w:val="a4"/>
              <w:ind w:left="25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>14-10-2020</w:t>
            </w:r>
          </w:p>
        </w:tc>
      </w:tr>
      <w:tr w:rsidR="00E45225" w:rsidRPr="00F35590" w:rsidTr="007C2CAD">
        <w:trPr>
          <w:jc w:val="center"/>
        </w:trPr>
        <w:tc>
          <w:tcPr>
            <w:tcW w:w="2638" w:type="dxa"/>
          </w:tcPr>
          <w:p w:rsidR="00E45225" w:rsidRPr="00F35590" w:rsidRDefault="00E45225" w:rsidP="007C2CAD">
            <w:pPr>
              <w:pStyle w:val="a4"/>
              <w:ind w:left="6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4.2 </w:t>
            </w:r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Dissemination through </w:t>
            </w:r>
            <w:proofErr w:type="spellStart"/>
            <w:r w:rsidRPr="00F35590">
              <w:rPr>
                <w:rFonts w:asciiTheme="majorBidi" w:hAnsiTheme="majorBidi" w:cstheme="majorBidi"/>
                <w:sz w:val="22"/>
                <w:szCs w:val="22"/>
              </w:rPr>
              <w:t>ASSET’s</w:t>
            </w:r>
            <w:proofErr w:type="spellEnd"/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 Website</w:t>
            </w:r>
          </w:p>
        </w:tc>
        <w:tc>
          <w:tcPr>
            <w:tcW w:w="6832" w:type="dxa"/>
          </w:tcPr>
          <w:p w:rsidR="00E45225" w:rsidRPr="00F35590" w:rsidRDefault="00E45225" w:rsidP="007C2CAD">
            <w:pPr>
              <w:pStyle w:val="a4"/>
              <w:numPr>
                <w:ilvl w:val="0"/>
                <w:numId w:val="20"/>
              </w:numPr>
              <w:ind w:left="262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F35590">
              <w:rPr>
                <w:rFonts w:asciiTheme="majorBidi" w:hAnsiTheme="majorBidi" w:cstheme="majorBidi"/>
                <w:sz w:val="22"/>
                <w:szCs w:val="22"/>
              </w:rPr>
              <w:t>KCJV</w:t>
            </w:r>
            <w:proofErr w:type="spellEnd"/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 will develop a project website where activities and announcement on course assessment developments undertaken during the project will be posted there. </w:t>
            </w:r>
          </w:p>
          <w:p w:rsidR="00E45225" w:rsidRPr="00F35590" w:rsidRDefault="00E45225" w:rsidP="007C2CAD">
            <w:pPr>
              <w:pStyle w:val="a4"/>
              <w:numPr>
                <w:ilvl w:val="0"/>
                <w:numId w:val="20"/>
              </w:numPr>
              <w:ind w:left="262"/>
              <w:rPr>
                <w:rFonts w:asciiTheme="majorBidi" w:hAnsiTheme="majorBidi" w:cstheme="majorBidi"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The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non-educational organisations (</w:t>
            </w:r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VARAM and </w:t>
            </w:r>
            <w:proofErr w:type="spellStart"/>
            <w:r w:rsidRPr="00F35590">
              <w:rPr>
                <w:rFonts w:asciiTheme="majorBidi" w:hAnsiTheme="majorBidi" w:cstheme="majorBidi"/>
                <w:sz w:val="22"/>
                <w:szCs w:val="22"/>
              </w:rPr>
              <w:t>NTCPD</w:t>
            </w:r>
            <w:proofErr w:type="spellEnd"/>
            <w:r w:rsidRPr="00F35590">
              <w:rPr>
                <w:rFonts w:asciiTheme="majorBidi" w:hAnsiTheme="majorBidi" w:cstheme="majorBidi"/>
                <w:sz w:val="22"/>
                <w:szCs w:val="22"/>
              </w:rPr>
              <w:t>) will provide significant press and publicity work in favour of the project</w:t>
            </w:r>
          </w:p>
        </w:tc>
        <w:tc>
          <w:tcPr>
            <w:tcW w:w="1559" w:type="dxa"/>
          </w:tcPr>
          <w:p w:rsidR="00E45225" w:rsidRPr="00F35590" w:rsidRDefault="00E45225" w:rsidP="007C2CAD">
            <w:pPr>
              <w:ind w:left="25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>14-10-2020</w:t>
            </w:r>
          </w:p>
        </w:tc>
      </w:tr>
      <w:tr w:rsidR="00E45225" w:rsidRPr="00F35590" w:rsidTr="007C2CAD">
        <w:trPr>
          <w:jc w:val="center"/>
        </w:trPr>
        <w:tc>
          <w:tcPr>
            <w:tcW w:w="2638" w:type="dxa"/>
            <w:shd w:val="clear" w:color="auto" w:fill="D9D9D9" w:themeFill="background1" w:themeFillShade="D9"/>
          </w:tcPr>
          <w:p w:rsidR="00E45225" w:rsidRPr="00F35590" w:rsidRDefault="00E45225" w:rsidP="007C2CAD">
            <w:pPr>
              <w:pStyle w:val="a4"/>
              <w:ind w:left="0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4.3 </w:t>
            </w:r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Dissemination to other </w:t>
            </w:r>
            <w:proofErr w:type="spellStart"/>
            <w:r w:rsidRPr="00F35590">
              <w:rPr>
                <w:rFonts w:asciiTheme="majorBidi" w:hAnsiTheme="majorBidi" w:cstheme="majorBidi"/>
                <w:sz w:val="22"/>
                <w:szCs w:val="22"/>
              </w:rPr>
              <w:t>HEIs</w:t>
            </w:r>
            <w:proofErr w:type="spellEnd"/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 and multiplier workshops and faculty training in </w:t>
            </w:r>
            <w:proofErr w:type="spellStart"/>
            <w:r w:rsidRPr="00F35590">
              <w:rPr>
                <w:rFonts w:asciiTheme="majorBidi" w:hAnsiTheme="majorBidi" w:cstheme="majorBidi"/>
                <w:sz w:val="22"/>
                <w:szCs w:val="22"/>
              </w:rPr>
              <w:t>IL</w:t>
            </w:r>
            <w:proofErr w:type="spellEnd"/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 and GE by partner NGOs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:rsidR="00E45225" w:rsidRPr="00F35590" w:rsidRDefault="00E45225" w:rsidP="007C2CAD">
            <w:pPr>
              <w:pStyle w:val="a4"/>
              <w:numPr>
                <w:ilvl w:val="0"/>
                <w:numId w:val="21"/>
              </w:numPr>
              <w:ind w:left="262"/>
              <w:rPr>
                <w:rFonts w:asciiTheme="majorBidi" w:hAnsiTheme="majorBidi" w:cstheme="majorBidi"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During the second and third year, partner country </w:t>
            </w:r>
            <w:proofErr w:type="spellStart"/>
            <w:r w:rsidRPr="00F35590">
              <w:rPr>
                <w:rFonts w:asciiTheme="majorBidi" w:hAnsiTheme="majorBidi" w:cstheme="majorBidi"/>
                <w:sz w:val="22"/>
                <w:szCs w:val="22"/>
              </w:rPr>
              <w:t>HEIs</w:t>
            </w:r>
            <w:proofErr w:type="spellEnd"/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 will organise workshops and open days dedicated to invite faculty staff from other </w:t>
            </w:r>
            <w:proofErr w:type="spellStart"/>
            <w:r w:rsidRPr="00F35590">
              <w:rPr>
                <w:rFonts w:asciiTheme="majorBidi" w:hAnsiTheme="majorBidi" w:cstheme="majorBidi"/>
                <w:sz w:val="22"/>
                <w:szCs w:val="22"/>
              </w:rPr>
              <w:t>HEIs</w:t>
            </w:r>
            <w:proofErr w:type="spellEnd"/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 not directly involved in the project and present them with the project activities and results on </w:t>
            </w:r>
            <w:proofErr w:type="spellStart"/>
            <w:r w:rsidRPr="00F35590">
              <w:rPr>
                <w:rFonts w:asciiTheme="majorBidi" w:hAnsiTheme="majorBidi" w:cstheme="majorBidi"/>
                <w:sz w:val="22"/>
                <w:szCs w:val="22"/>
              </w:rPr>
              <w:t>CATs</w:t>
            </w:r>
            <w:proofErr w:type="spellEnd"/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 and impact on student performance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45225" w:rsidRPr="00F35590" w:rsidRDefault="00E45225" w:rsidP="007C2CAD">
            <w:pPr>
              <w:ind w:left="255"/>
              <w:jc w:val="center"/>
              <w:rPr>
                <w:rFonts w:asciiTheme="majorBidi" w:hAnsiTheme="majorBidi" w:cstheme="majorBidi"/>
                <w:color w:val="222222"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>14-10-2020</w:t>
            </w:r>
          </w:p>
        </w:tc>
      </w:tr>
      <w:tr w:rsidR="00E45225" w:rsidRPr="00F35590" w:rsidTr="007C2CAD">
        <w:trPr>
          <w:jc w:val="center"/>
        </w:trPr>
        <w:tc>
          <w:tcPr>
            <w:tcW w:w="2638" w:type="dxa"/>
          </w:tcPr>
          <w:p w:rsidR="00E45225" w:rsidRPr="00F35590" w:rsidRDefault="00E45225" w:rsidP="007C2CAD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4.4 </w:t>
            </w:r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Participation and/or Organization of round tables, symposiums, national and international conferences in </w:t>
            </w:r>
            <w:proofErr w:type="spellStart"/>
            <w:r w:rsidRPr="00F35590">
              <w:rPr>
                <w:rFonts w:asciiTheme="majorBidi" w:hAnsiTheme="majorBidi" w:cstheme="majorBidi"/>
                <w:sz w:val="22"/>
                <w:szCs w:val="22"/>
              </w:rPr>
              <w:t>IL</w:t>
            </w:r>
            <w:proofErr w:type="spellEnd"/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 and GE </w:t>
            </w:r>
          </w:p>
        </w:tc>
        <w:tc>
          <w:tcPr>
            <w:tcW w:w="6832" w:type="dxa"/>
          </w:tcPr>
          <w:p w:rsidR="00E45225" w:rsidRPr="00F35590" w:rsidRDefault="00E45225" w:rsidP="007C2CAD">
            <w:pPr>
              <w:pStyle w:val="a4"/>
              <w:numPr>
                <w:ilvl w:val="0"/>
                <w:numId w:val="21"/>
              </w:numPr>
              <w:ind w:left="262"/>
              <w:rPr>
                <w:rFonts w:asciiTheme="majorBidi" w:hAnsiTheme="majorBidi" w:cstheme="majorBidi"/>
                <w:color w:val="222222"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At least 3 round tables/symposia/paper/poster presentations in conferences will occur during the second and third year. </w:t>
            </w:r>
          </w:p>
          <w:p w:rsidR="00E45225" w:rsidRPr="00F35590" w:rsidRDefault="00E45225" w:rsidP="007C2CAD">
            <w:pPr>
              <w:pStyle w:val="a4"/>
              <w:numPr>
                <w:ilvl w:val="0"/>
                <w:numId w:val="21"/>
              </w:numPr>
              <w:ind w:left="262"/>
              <w:rPr>
                <w:rFonts w:asciiTheme="majorBidi" w:hAnsiTheme="majorBidi" w:cstheme="majorBidi"/>
                <w:color w:val="222222"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Whenever possible national project management meetings will coincide with these events. </w:t>
            </w:r>
          </w:p>
        </w:tc>
        <w:tc>
          <w:tcPr>
            <w:tcW w:w="1559" w:type="dxa"/>
          </w:tcPr>
          <w:p w:rsidR="00E45225" w:rsidRPr="00F35590" w:rsidRDefault="00E45225" w:rsidP="007C2CAD">
            <w:pPr>
              <w:ind w:left="255"/>
              <w:jc w:val="center"/>
              <w:rPr>
                <w:rFonts w:asciiTheme="majorBidi" w:hAnsiTheme="majorBidi" w:cstheme="majorBidi"/>
                <w:color w:val="222222"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>14-10-2020</w:t>
            </w:r>
          </w:p>
        </w:tc>
      </w:tr>
      <w:tr w:rsidR="00E45225" w:rsidRPr="00F35590" w:rsidTr="007C2CAD">
        <w:trPr>
          <w:jc w:val="center"/>
        </w:trPr>
        <w:tc>
          <w:tcPr>
            <w:tcW w:w="2638" w:type="dxa"/>
            <w:shd w:val="clear" w:color="auto" w:fill="D9D9D9" w:themeFill="background1" w:themeFillShade="D9"/>
          </w:tcPr>
          <w:p w:rsidR="00E45225" w:rsidRPr="00F35590" w:rsidRDefault="00E45225" w:rsidP="007C2CAD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4.5 </w:t>
            </w:r>
            <w:r w:rsidRPr="00F35590"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  <w:t>Elaboration of handbooks with best practices and lessons learned from the project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:rsidR="00E45225" w:rsidRPr="00F35590" w:rsidRDefault="00E45225" w:rsidP="007C2CAD">
            <w:pPr>
              <w:pStyle w:val="a4"/>
              <w:numPr>
                <w:ilvl w:val="0"/>
                <w:numId w:val="22"/>
              </w:numPr>
              <w:ind w:left="262"/>
              <w:rPr>
                <w:rFonts w:asciiTheme="majorBidi" w:hAnsiTheme="majorBidi" w:cstheme="majorBidi"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The complete project will be disseminated in a report containing best practices from project implementation, assessment results, recommendations and suggestions. </w:t>
            </w:r>
          </w:p>
          <w:p w:rsidR="00E45225" w:rsidRPr="00F35590" w:rsidRDefault="00E45225" w:rsidP="007C2CAD">
            <w:pPr>
              <w:pStyle w:val="a4"/>
              <w:numPr>
                <w:ilvl w:val="0"/>
                <w:numId w:val="22"/>
              </w:numPr>
              <w:ind w:left="262"/>
              <w:rPr>
                <w:rFonts w:asciiTheme="majorBidi" w:hAnsiTheme="majorBidi" w:cstheme="majorBidi"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>They will be printed and distributed free of charge at the end of the project and available online.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45225" w:rsidRPr="00F35590" w:rsidRDefault="00E45225" w:rsidP="007C2CAD">
            <w:pPr>
              <w:ind w:left="25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>14-10-2020</w:t>
            </w:r>
          </w:p>
        </w:tc>
      </w:tr>
      <w:tr w:rsidR="00E45225" w:rsidRPr="00F35590" w:rsidTr="007C2CAD">
        <w:trPr>
          <w:jc w:val="center"/>
        </w:trPr>
        <w:tc>
          <w:tcPr>
            <w:tcW w:w="2638" w:type="dxa"/>
            <w:shd w:val="clear" w:color="auto" w:fill="FFFFFF" w:themeFill="background1"/>
          </w:tcPr>
          <w:p w:rsidR="00E45225" w:rsidRPr="00F35590" w:rsidRDefault="00E45225" w:rsidP="007C2CAD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4.6 </w:t>
            </w:r>
            <w:r w:rsidRPr="00F35590">
              <w:rPr>
                <w:rFonts w:asciiTheme="majorBidi" w:hAnsiTheme="majorBidi" w:cstheme="majorBidi"/>
                <w:sz w:val="22"/>
                <w:szCs w:val="22"/>
              </w:rPr>
              <w:t>Final Consortium Meeting and International Conference for Worldwide dissemination</w:t>
            </w:r>
          </w:p>
        </w:tc>
        <w:tc>
          <w:tcPr>
            <w:tcW w:w="6832" w:type="dxa"/>
            <w:shd w:val="clear" w:color="auto" w:fill="FFFFFF" w:themeFill="background1"/>
          </w:tcPr>
          <w:p w:rsidR="00E45225" w:rsidRPr="00F35590" w:rsidRDefault="00E45225" w:rsidP="007C2CAD">
            <w:pPr>
              <w:pStyle w:val="a4"/>
              <w:numPr>
                <w:ilvl w:val="0"/>
                <w:numId w:val="24"/>
              </w:numPr>
              <w:ind w:left="262"/>
              <w:rPr>
                <w:rFonts w:asciiTheme="majorBidi" w:hAnsiTheme="majorBidi" w:cstheme="majorBidi"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 xml:space="preserve">A final dissemination event will take place in Jerusalem. </w:t>
            </w:r>
          </w:p>
          <w:p w:rsidR="00E45225" w:rsidRPr="00F35590" w:rsidRDefault="00E45225" w:rsidP="007C2CAD">
            <w:pPr>
              <w:pStyle w:val="a4"/>
              <w:numPr>
                <w:ilvl w:val="0"/>
                <w:numId w:val="24"/>
              </w:numPr>
              <w:ind w:left="262"/>
              <w:rPr>
                <w:rFonts w:asciiTheme="majorBidi" w:hAnsiTheme="majorBidi" w:cstheme="majorBidi"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>The impact of course assessment and other thematic areas in teaching/learning processes will be covered during the Conference.</w:t>
            </w:r>
          </w:p>
        </w:tc>
        <w:tc>
          <w:tcPr>
            <w:tcW w:w="1559" w:type="dxa"/>
            <w:shd w:val="clear" w:color="auto" w:fill="FFFFFF" w:themeFill="background1"/>
          </w:tcPr>
          <w:p w:rsidR="00E45225" w:rsidRPr="00F35590" w:rsidRDefault="00E45225" w:rsidP="007C2CAD">
            <w:pPr>
              <w:ind w:left="25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35590">
              <w:rPr>
                <w:rFonts w:asciiTheme="majorBidi" w:hAnsiTheme="majorBidi" w:cstheme="majorBidi"/>
                <w:sz w:val="22"/>
                <w:szCs w:val="22"/>
              </w:rPr>
              <w:t>30-08-2020</w:t>
            </w:r>
          </w:p>
        </w:tc>
      </w:tr>
    </w:tbl>
    <w:p w:rsidR="00E45225" w:rsidRPr="00F35590" w:rsidRDefault="00E45225" w:rsidP="00E45225">
      <w:pPr>
        <w:jc w:val="center"/>
        <w:rPr>
          <w:rFonts w:asciiTheme="majorBidi" w:hAnsiTheme="majorBidi" w:cstheme="majorBidi"/>
          <w:b/>
          <w:szCs w:val="22"/>
        </w:rPr>
      </w:pPr>
    </w:p>
    <w:p w:rsidR="00E45225" w:rsidRPr="00E45225" w:rsidRDefault="00E45225" w:rsidP="00E45225">
      <w:pPr>
        <w:rPr>
          <w:szCs w:val="22"/>
          <w:lang w:val="en-US"/>
        </w:rPr>
      </w:pPr>
    </w:p>
    <w:sectPr w:rsidR="00E45225" w:rsidRPr="00E45225" w:rsidSect="00F035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E04A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FB3B84"/>
    <w:multiLevelType w:val="multilevel"/>
    <w:tmpl w:val="FEBA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FB76A3"/>
    <w:multiLevelType w:val="multilevel"/>
    <w:tmpl w:val="3FFA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C541C6"/>
    <w:multiLevelType w:val="hybridMultilevel"/>
    <w:tmpl w:val="F9804ED2"/>
    <w:lvl w:ilvl="0" w:tplc="EF0C66AA">
      <w:start w:val="1"/>
      <w:numFmt w:val="decimal"/>
      <w:lvlText w:val="[%1]"/>
      <w:lvlJc w:val="left"/>
      <w:pPr>
        <w:ind w:left="1000" w:hanging="360"/>
      </w:pPr>
      <w:rPr>
        <w:rFonts w:ascii="Aharoni" w:hAnsi="Aharoni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0A017E10"/>
    <w:multiLevelType w:val="hybridMultilevel"/>
    <w:tmpl w:val="9976D750"/>
    <w:lvl w:ilvl="0" w:tplc="0409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11E406C0"/>
    <w:multiLevelType w:val="hybridMultilevel"/>
    <w:tmpl w:val="229E8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54A2E"/>
    <w:multiLevelType w:val="hybridMultilevel"/>
    <w:tmpl w:val="F4285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75F82"/>
    <w:multiLevelType w:val="multilevel"/>
    <w:tmpl w:val="816A5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90E2D90"/>
    <w:multiLevelType w:val="hybridMultilevel"/>
    <w:tmpl w:val="6BE249B6"/>
    <w:lvl w:ilvl="0" w:tplc="5852D48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4473C"/>
    <w:multiLevelType w:val="hybridMultilevel"/>
    <w:tmpl w:val="86B0A110"/>
    <w:lvl w:ilvl="0" w:tplc="0409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32D26CB0"/>
    <w:multiLevelType w:val="hybridMultilevel"/>
    <w:tmpl w:val="B9EAD1AA"/>
    <w:lvl w:ilvl="0" w:tplc="04090005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1">
    <w:nsid w:val="340D0F1C"/>
    <w:multiLevelType w:val="hybridMultilevel"/>
    <w:tmpl w:val="B9E29D46"/>
    <w:lvl w:ilvl="0" w:tplc="03624036">
      <w:start w:val="30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63146"/>
    <w:multiLevelType w:val="multilevel"/>
    <w:tmpl w:val="FC340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8664326"/>
    <w:multiLevelType w:val="hybridMultilevel"/>
    <w:tmpl w:val="DC78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E2D91"/>
    <w:multiLevelType w:val="hybridMultilevel"/>
    <w:tmpl w:val="8D7076E4"/>
    <w:lvl w:ilvl="0" w:tplc="2E12D5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B709D2"/>
    <w:multiLevelType w:val="hybridMultilevel"/>
    <w:tmpl w:val="FE3C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429D3"/>
    <w:multiLevelType w:val="hybridMultilevel"/>
    <w:tmpl w:val="7D98C982"/>
    <w:lvl w:ilvl="0" w:tplc="0409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>
    <w:nsid w:val="4FD43067"/>
    <w:multiLevelType w:val="hybridMultilevel"/>
    <w:tmpl w:val="2354C464"/>
    <w:lvl w:ilvl="0" w:tplc="04090005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8">
    <w:nsid w:val="59764BB8"/>
    <w:multiLevelType w:val="hybridMultilevel"/>
    <w:tmpl w:val="45F68386"/>
    <w:lvl w:ilvl="0" w:tplc="0409000F">
      <w:start w:val="1"/>
      <w:numFmt w:val="decimal"/>
      <w:lvlText w:val="%1."/>
      <w:lvlJc w:val="left"/>
      <w:pPr>
        <w:ind w:left="850" w:hanging="360"/>
      </w:p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9">
    <w:nsid w:val="5AB16E98"/>
    <w:multiLevelType w:val="hybridMultilevel"/>
    <w:tmpl w:val="EEF6FAAC"/>
    <w:lvl w:ilvl="0" w:tplc="1A602FBE">
      <w:start w:val="1"/>
      <w:numFmt w:val="bullet"/>
      <w:pStyle w:val="BulletBox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65C33804"/>
    <w:multiLevelType w:val="hybridMultilevel"/>
    <w:tmpl w:val="40F0A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53F29"/>
    <w:multiLevelType w:val="hybridMultilevel"/>
    <w:tmpl w:val="713A5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B7C7E"/>
    <w:multiLevelType w:val="hybridMultilevel"/>
    <w:tmpl w:val="BBD0A044"/>
    <w:lvl w:ilvl="0" w:tplc="04090005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3">
    <w:nsid w:val="799B0773"/>
    <w:multiLevelType w:val="hybridMultilevel"/>
    <w:tmpl w:val="F0EAEA80"/>
    <w:lvl w:ilvl="0" w:tplc="040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7"/>
  </w:num>
  <w:num w:numId="9">
    <w:abstractNumId w:val="22"/>
  </w:num>
  <w:num w:numId="10">
    <w:abstractNumId w:val="10"/>
  </w:num>
  <w:num w:numId="11">
    <w:abstractNumId w:val="17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4"/>
  </w:num>
  <w:num w:numId="17">
    <w:abstractNumId w:val="21"/>
  </w:num>
  <w:num w:numId="18">
    <w:abstractNumId w:val="5"/>
  </w:num>
  <w:num w:numId="19">
    <w:abstractNumId w:val="23"/>
  </w:num>
  <w:num w:numId="20">
    <w:abstractNumId w:val="4"/>
  </w:num>
  <w:num w:numId="21">
    <w:abstractNumId w:val="9"/>
  </w:num>
  <w:num w:numId="22">
    <w:abstractNumId w:val="16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E5D8D"/>
    <w:rsid w:val="0004561C"/>
    <w:rsid w:val="000672F5"/>
    <w:rsid w:val="0009578B"/>
    <w:rsid w:val="000A5D6C"/>
    <w:rsid w:val="000F5A47"/>
    <w:rsid w:val="000F7812"/>
    <w:rsid w:val="00114C37"/>
    <w:rsid w:val="00126951"/>
    <w:rsid w:val="00132DD2"/>
    <w:rsid w:val="001D32BD"/>
    <w:rsid w:val="001F575B"/>
    <w:rsid w:val="002076A7"/>
    <w:rsid w:val="00263BF7"/>
    <w:rsid w:val="00287B8D"/>
    <w:rsid w:val="002C78C2"/>
    <w:rsid w:val="002D2714"/>
    <w:rsid w:val="002F3110"/>
    <w:rsid w:val="00330B05"/>
    <w:rsid w:val="00334E86"/>
    <w:rsid w:val="003E7D45"/>
    <w:rsid w:val="00496A39"/>
    <w:rsid w:val="004E3CF4"/>
    <w:rsid w:val="00505CA5"/>
    <w:rsid w:val="005564D7"/>
    <w:rsid w:val="00582DBB"/>
    <w:rsid w:val="00614FA6"/>
    <w:rsid w:val="006644D8"/>
    <w:rsid w:val="006913BD"/>
    <w:rsid w:val="007123F7"/>
    <w:rsid w:val="007349D3"/>
    <w:rsid w:val="007A62B0"/>
    <w:rsid w:val="007D12B8"/>
    <w:rsid w:val="00815588"/>
    <w:rsid w:val="008F3337"/>
    <w:rsid w:val="009C7BFC"/>
    <w:rsid w:val="00A1528B"/>
    <w:rsid w:val="00AB58D7"/>
    <w:rsid w:val="00B045E3"/>
    <w:rsid w:val="00B170B2"/>
    <w:rsid w:val="00BE34F4"/>
    <w:rsid w:val="00C73280"/>
    <w:rsid w:val="00CD08AA"/>
    <w:rsid w:val="00D046C0"/>
    <w:rsid w:val="00DA2EB1"/>
    <w:rsid w:val="00DB4E4C"/>
    <w:rsid w:val="00DD16B0"/>
    <w:rsid w:val="00DD5371"/>
    <w:rsid w:val="00DE7DE1"/>
    <w:rsid w:val="00E25DA4"/>
    <w:rsid w:val="00E45225"/>
    <w:rsid w:val="00ED473E"/>
    <w:rsid w:val="00EE5D8D"/>
    <w:rsid w:val="00EF07EB"/>
    <w:rsid w:val="00F0033C"/>
    <w:rsid w:val="00F03586"/>
    <w:rsid w:val="00F35590"/>
    <w:rsid w:val="00F54289"/>
    <w:rsid w:val="00FE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8D"/>
    <w:pPr>
      <w:spacing w:after="0" w:line="240" w:lineRule="auto"/>
    </w:pPr>
    <w:rPr>
      <w:rFonts w:eastAsia="Calibri" w:cs="Arial"/>
      <w:szCs w:val="20"/>
      <w:lang w:val="en-GB" w:eastAsia="en-GB" w:bidi="ar-SA"/>
    </w:rPr>
  </w:style>
  <w:style w:type="paragraph" w:styleId="2">
    <w:name w:val="heading 2"/>
    <w:basedOn w:val="a"/>
    <w:next w:val="a"/>
    <w:link w:val="20"/>
    <w:uiPriority w:val="99"/>
    <w:qFormat/>
    <w:rsid w:val="000F7812"/>
    <w:pPr>
      <w:shd w:val="clear" w:color="auto" w:fill="B3B3B3"/>
      <w:tabs>
        <w:tab w:val="num" w:pos="0"/>
      </w:tabs>
      <w:outlineLvl w:val="1"/>
    </w:pPr>
    <w:rPr>
      <w:rFonts w:ascii="Tahoma-Bold" w:eastAsia="Times New Roman" w:hAnsi="Tahoma-Bold"/>
      <w:b/>
      <w:color w:val="FFFF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D8D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fr-BE" w:eastAsia="fr-BE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E5D8D"/>
    <w:pPr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BulletBox">
    <w:name w:val="BulletBox"/>
    <w:basedOn w:val="a"/>
    <w:rsid w:val="00EE5D8D"/>
    <w:pPr>
      <w:widowControl w:val="0"/>
      <w:numPr>
        <w:numId w:val="1"/>
      </w:numPr>
      <w:tabs>
        <w:tab w:val="left" w:pos="228"/>
      </w:tabs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E5D8D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E5D8D"/>
    <w:rPr>
      <w:rFonts w:ascii="Tahoma" w:eastAsia="Calibri" w:hAnsi="Tahoma" w:cs="Tahoma"/>
      <w:sz w:val="16"/>
      <w:szCs w:val="16"/>
      <w:lang w:val="en-GB" w:eastAsia="en-GB" w:bidi="ar-SA"/>
    </w:rPr>
  </w:style>
  <w:style w:type="character" w:customStyle="1" w:styleId="20">
    <w:name w:val="כותרת 2 תו"/>
    <w:basedOn w:val="a0"/>
    <w:link w:val="2"/>
    <w:uiPriority w:val="99"/>
    <w:rsid w:val="000F7812"/>
    <w:rPr>
      <w:rFonts w:ascii="Tahoma-Bold" w:eastAsia="Times New Roman" w:hAnsi="Tahoma-Bold" w:cs="Arial"/>
      <w:b/>
      <w:color w:val="FFFFFF"/>
      <w:sz w:val="28"/>
      <w:szCs w:val="20"/>
      <w:shd w:val="clear" w:color="auto" w:fill="B3B3B3"/>
      <w:lang w:val="en-GB" w:eastAsia="en-GB" w:bidi="ar-SA"/>
    </w:rPr>
  </w:style>
  <w:style w:type="paragraph" w:customStyle="1" w:styleId="Default">
    <w:name w:val="Default"/>
    <w:rsid w:val="00B045E3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640C4-4605-4FC1-9532-6A6D64CC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2017-09-22T15:32:00Z</dcterms:created>
  <dcterms:modified xsi:type="dcterms:W3CDTF">2018-01-30T07:54:00Z</dcterms:modified>
</cp:coreProperties>
</file>